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43BF" w14:textId="5A798E10" w:rsidR="005E3D03" w:rsidRPr="00605B2D" w:rsidRDefault="00605B2D" w:rsidP="00605B2D">
      <w:pPr>
        <w:tabs>
          <w:tab w:val="right" w:pos="9781"/>
        </w:tabs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B2D">
        <w:rPr>
          <w:rFonts w:ascii="Arial" w:hAnsi="Arial" w:cs="Arial"/>
          <w:b/>
          <w:bCs/>
          <w:sz w:val="22"/>
          <w:szCs w:val="22"/>
        </w:rPr>
        <w:t>Załącznik A do SWZ</w:t>
      </w:r>
      <w:r w:rsidR="005E3D03" w:rsidRPr="00605B2D">
        <w:rPr>
          <w:rFonts w:ascii="Arial" w:hAnsi="Arial" w:cs="Arial"/>
          <w:b/>
          <w:bCs/>
          <w:sz w:val="22"/>
          <w:szCs w:val="22"/>
        </w:rPr>
        <w:tab/>
      </w:r>
    </w:p>
    <w:p w14:paraId="7CC502B9" w14:textId="77777777" w:rsidR="00703799" w:rsidRPr="004F226E" w:rsidRDefault="00703799" w:rsidP="00CC655C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Szczegółowy opis przedmiotu zamówienia</w:t>
      </w:r>
    </w:p>
    <w:p w14:paraId="28E6A6DA" w14:textId="77777777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Zakres zamówienia:</w:t>
      </w:r>
    </w:p>
    <w:p w14:paraId="7CF90F15" w14:textId="10F54D1F" w:rsidR="005B36CF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1) </w:t>
      </w:r>
      <w:r w:rsidR="005B36CF" w:rsidRPr="004F226E">
        <w:rPr>
          <w:rFonts w:ascii="Arial" w:hAnsi="Arial" w:cs="Arial"/>
        </w:rPr>
        <w:t xml:space="preserve">Sporządzenie obliczeń fotometrycznych dla opraw drogowych oraz parkowych. </w:t>
      </w:r>
    </w:p>
    <w:p w14:paraId="6598B5A1" w14:textId="36C4574A" w:rsidR="00D4646E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2) </w:t>
      </w:r>
      <w:r w:rsidR="00D4646E" w:rsidRPr="004F226E">
        <w:rPr>
          <w:rFonts w:ascii="Arial" w:hAnsi="Arial" w:cs="Arial"/>
        </w:rPr>
        <w:t xml:space="preserve">Demontaż 167 szt. istniejących sodowych opraw oświetlenia stanowiących własność Gminy </w:t>
      </w:r>
      <w:r w:rsidR="00455ED9" w:rsidRPr="004F226E">
        <w:rPr>
          <w:rFonts w:ascii="Arial" w:hAnsi="Arial" w:cs="Arial"/>
        </w:rPr>
        <w:t>Kisielice</w:t>
      </w:r>
      <w:r w:rsidR="00D4646E" w:rsidRPr="004F226E">
        <w:rPr>
          <w:rFonts w:ascii="Arial" w:hAnsi="Arial" w:cs="Arial"/>
        </w:rPr>
        <w:t xml:space="preserve"> wraz z ich utylizacją.</w:t>
      </w:r>
    </w:p>
    <w:p w14:paraId="339BB656" w14:textId="2B001D24" w:rsidR="00D4646E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3</w:t>
      </w:r>
      <w:r w:rsidR="00D4646E" w:rsidRPr="004F226E">
        <w:rPr>
          <w:rFonts w:ascii="Arial" w:hAnsi="Arial" w:cs="Arial"/>
        </w:rPr>
        <w:t>) Montaż 167 szt. fabrycznie nowych opraw oświetlenia LED, w tym:</w:t>
      </w:r>
    </w:p>
    <w:p w14:paraId="6BF058D9" w14:textId="4B496D27" w:rsidR="00D4646E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- oprawy drogowe: 115 szt.</w:t>
      </w:r>
    </w:p>
    <w:p w14:paraId="4D2BEB17" w14:textId="5AED5067" w:rsidR="00D4646E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- oprawy parkowe: 52 szt. </w:t>
      </w:r>
    </w:p>
    <w:p w14:paraId="7D13CF82" w14:textId="1DD9CE45" w:rsidR="000C6982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4</w:t>
      </w:r>
      <w:r w:rsidR="000C6982" w:rsidRPr="004F226E">
        <w:rPr>
          <w:rFonts w:ascii="Arial" w:hAnsi="Arial" w:cs="Arial"/>
        </w:rPr>
        <w:t xml:space="preserve">) Przetestowanie poprawności działania opraw oświetleniowych. </w:t>
      </w:r>
    </w:p>
    <w:p w14:paraId="00634221" w14:textId="77777777" w:rsidR="00D4646E" w:rsidRPr="004F226E" w:rsidRDefault="00D4646E" w:rsidP="00CC655C">
      <w:pPr>
        <w:spacing w:line="360" w:lineRule="auto"/>
        <w:rPr>
          <w:rFonts w:ascii="Arial" w:hAnsi="Arial" w:cs="Arial"/>
        </w:rPr>
      </w:pPr>
    </w:p>
    <w:p w14:paraId="63CDDCF8" w14:textId="5A6E2713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 xml:space="preserve">Zgodnie z wymaganiami Rządowego Funduszu Polski Ład: Program inwestycji Strategicznych (edycja 9 – Rozświetlamy Polskę”), dostarczone </w:t>
      </w:r>
      <w:r w:rsidR="00583683" w:rsidRPr="004F226E">
        <w:rPr>
          <w:rFonts w:ascii="Arial" w:hAnsi="Arial" w:cs="Arial"/>
          <w:b/>
        </w:rPr>
        <w:t xml:space="preserve">nowe </w:t>
      </w:r>
      <w:r w:rsidRPr="004F226E">
        <w:rPr>
          <w:rFonts w:ascii="Arial" w:hAnsi="Arial" w:cs="Arial"/>
          <w:b/>
        </w:rPr>
        <w:t>oprawy oświetleniowe LED muszą:</w:t>
      </w:r>
    </w:p>
    <w:p w14:paraId="7279BB62" w14:textId="77777777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</w:p>
    <w:p w14:paraId="6BA307C2" w14:textId="2C3C254B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Być wyprodukowane na terenie Unii Europejskiej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 lub dopuszczone do użycia na terenie UE.</w:t>
      </w:r>
    </w:p>
    <w:p w14:paraId="686D8C5E" w14:textId="77777777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Gwarantować możliwość zdalnego sterowania bez dodatkowej modyfikacji oprawy,</w:t>
      </w:r>
    </w:p>
    <w:p w14:paraId="4DAEEBC2" w14:textId="2551DB12" w:rsidR="00D4646E" w:rsidRPr="004F226E" w:rsidRDefault="00D4646E" w:rsidP="00605B2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Posiadać łącznie certyfikaty: ENEC, ENEC+, ZD4i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 </w:t>
      </w:r>
      <w:r w:rsidR="00583683" w:rsidRPr="004F226E">
        <w:rPr>
          <w:sz w:val="24"/>
          <w:szCs w:val="24"/>
        </w:rPr>
        <w:t xml:space="preserve"> 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lub równoważne. </w:t>
      </w:r>
      <w:r w:rsidR="00583683" w:rsidRPr="004F226E">
        <w:rPr>
          <w:rFonts w:ascii="Arial" w:hAnsi="Arial" w:cs="Arial"/>
          <w:sz w:val="24"/>
          <w:szCs w:val="24"/>
        </w:rPr>
        <w:t xml:space="preserve">Jako równoważne uznaje się certyfikaty wystawione przez niezależne, akredytowane laboratoria, działające na terenie Unii Europejskiej, które potwierdzają zgodność z normami, trwałość i wiarygodność wszystkich deklarowanych parametrów elektrycznych, fotometrycznych i kolorymetrycznych. </w:t>
      </w:r>
    </w:p>
    <w:p w14:paraId="7AECA6F4" w14:textId="79322008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 xml:space="preserve">Wymagany okres gwarancji, co najmniej 60 miesięcy. </w:t>
      </w:r>
    </w:p>
    <w:p w14:paraId="6C45570B" w14:textId="5B8B2FA1" w:rsidR="00653AC6" w:rsidRPr="004F226E" w:rsidRDefault="005B36CF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Podstawowe</w:t>
      </w:r>
      <w:r w:rsidR="00653AC6" w:rsidRPr="004F226E">
        <w:rPr>
          <w:rFonts w:ascii="Arial" w:hAnsi="Arial" w:cs="Arial"/>
          <w:b/>
        </w:rPr>
        <w:t xml:space="preserve"> dokumenty: </w:t>
      </w:r>
    </w:p>
    <w:p w14:paraId="0D0E8D25" w14:textId="4833DA2A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</w:rPr>
        <w:t>Certyfikaty przetłumaczone na język polski</w:t>
      </w:r>
    </w:p>
    <w:p w14:paraId="02480614" w14:textId="02498555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</w:rPr>
        <w:t>Karty katalogowe produktu w języku polskim</w:t>
      </w:r>
    </w:p>
    <w:p w14:paraId="08455839" w14:textId="4273C544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 xml:space="preserve">Karta katalogowa zasilaczy zastosowanych w oprawach wraz z certyfikatem ENEC na zasilacz. </w:t>
      </w:r>
    </w:p>
    <w:p w14:paraId="6CEE1407" w14:textId="77777777" w:rsidR="004F226E" w:rsidRPr="004F226E" w:rsidRDefault="004F226E" w:rsidP="004F226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D325416" w14:textId="77777777" w:rsidR="00D4646E" w:rsidRPr="00D4646E" w:rsidRDefault="00D4646E" w:rsidP="00CC655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65"/>
      </w:tblGrid>
      <w:tr w:rsidR="004E4911" w:rsidRPr="004E4911" w14:paraId="77C62931" w14:textId="77777777" w:rsidTr="008144F3">
        <w:trPr>
          <w:trHeight w:val="37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2945D9ED" w14:textId="2CD2BF12" w:rsidR="008144F3" w:rsidRPr="004E4911" w:rsidRDefault="008144F3" w:rsidP="00905F7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911">
              <w:rPr>
                <w:rFonts w:ascii="Arial" w:hAnsi="Arial" w:cs="Arial"/>
                <w:b/>
                <w:sz w:val="22"/>
                <w:szCs w:val="22"/>
              </w:rPr>
              <w:lastRenderedPageBreak/>
              <w:t>OPRAWY DROGO</w:t>
            </w:r>
            <w:r w:rsidR="00086896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4E4911">
              <w:rPr>
                <w:rFonts w:ascii="Arial" w:hAnsi="Arial" w:cs="Arial"/>
                <w:b/>
                <w:sz w:val="22"/>
                <w:szCs w:val="22"/>
              </w:rPr>
              <w:t>E LED</w:t>
            </w:r>
          </w:p>
        </w:tc>
      </w:tr>
    </w:tbl>
    <w:p w14:paraId="13E6FFEE" w14:textId="77777777" w:rsidR="008144F3" w:rsidRPr="004E4911" w:rsidRDefault="008144F3" w:rsidP="00CC65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639253" w14:textId="05AF2083" w:rsidR="00653AC6" w:rsidRDefault="00703799" w:rsidP="00CC655C">
      <w:pPr>
        <w:spacing w:line="360" w:lineRule="auto"/>
        <w:rPr>
          <w:rFonts w:ascii="Arial" w:hAnsi="Arial" w:cs="Arial"/>
        </w:rPr>
      </w:pPr>
      <w:r w:rsidRPr="00CC655C">
        <w:rPr>
          <w:rFonts w:ascii="Arial" w:hAnsi="Arial" w:cs="Arial"/>
        </w:rPr>
        <w:t xml:space="preserve">Oprawy drogowe typu LED, o konstrukcji dwukomorowej, z zintegrowanym uchwytem oraz obudową wykonaną w pełni z Aluminium formowanego ciśnieniowo, o gładkiej górnej powierzchni, z kloszem ze szkła hartowanego i matrycą soczewkową, charakteryzujące się wysoką szczelnością, trwałością oraz odpornością na uderzenia i zewnętrzne czynniki. Budowa oprawy oświetleniowej pozwala na szybki, </w:t>
      </w:r>
      <w:proofErr w:type="spellStart"/>
      <w:r w:rsidRPr="00CC655C">
        <w:rPr>
          <w:rFonts w:ascii="Arial" w:hAnsi="Arial" w:cs="Arial"/>
        </w:rPr>
        <w:t>beznarzędziowy</w:t>
      </w:r>
      <w:proofErr w:type="spellEnd"/>
      <w:r w:rsidRPr="00CC655C">
        <w:rPr>
          <w:rFonts w:ascii="Arial" w:hAnsi="Arial" w:cs="Arial"/>
        </w:rPr>
        <w:t xml:space="preserve"> dostęp do komory elektrycznej oraz bezproblemową wymianę wszystkich komponentów, bez konieczności wykonywania połączeń lutowanych.</w:t>
      </w:r>
    </w:p>
    <w:p w14:paraId="2A7F0015" w14:textId="77777777" w:rsidR="005B36CF" w:rsidRPr="00CC655C" w:rsidRDefault="005B36CF" w:rsidP="00CC655C">
      <w:pPr>
        <w:spacing w:line="360" w:lineRule="auto"/>
        <w:rPr>
          <w:rFonts w:ascii="Arial" w:hAnsi="Arial" w:cs="Arial"/>
        </w:rPr>
      </w:pPr>
    </w:p>
    <w:p w14:paraId="6CC286AA" w14:textId="77777777" w:rsidR="00703799" w:rsidRPr="00CC655C" w:rsidRDefault="00703799" w:rsidP="00CC655C">
      <w:pPr>
        <w:spacing w:line="360" w:lineRule="auto"/>
        <w:rPr>
          <w:rFonts w:ascii="Arial" w:hAnsi="Arial" w:cs="Arial"/>
        </w:rPr>
      </w:pPr>
      <w:r w:rsidRPr="00CC655C">
        <w:rPr>
          <w:rFonts w:ascii="Arial" w:hAnsi="Arial" w:cs="Arial"/>
        </w:rPr>
        <w:t>Wymagane cechy oprawy:</w:t>
      </w:r>
    </w:p>
    <w:p w14:paraId="3DFFA1E3" w14:textId="635CFAB4" w:rsidR="005E5B5E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02047">
        <w:rPr>
          <w:rFonts w:ascii="Arial" w:hAnsi="Arial" w:cs="Arial"/>
          <w:sz w:val="24"/>
          <w:szCs w:val="24"/>
        </w:rPr>
        <w:t>Korpus oprawy oraz uchwyt stanowiący w pełni odlew z Aluminium formowanego ciśnieniowo.</w:t>
      </w:r>
      <w:r w:rsidR="005E5B5E" w:rsidRPr="00102047">
        <w:rPr>
          <w:rFonts w:ascii="Arial" w:hAnsi="Arial" w:cs="Arial"/>
          <w:sz w:val="24"/>
          <w:szCs w:val="24"/>
        </w:rPr>
        <w:t xml:space="preserve"> </w:t>
      </w:r>
      <w:r w:rsidR="00C258E2" w:rsidRPr="00DF205D">
        <w:rPr>
          <w:rFonts w:ascii="Arial" w:hAnsi="Arial" w:cs="Arial"/>
          <w:sz w:val="24"/>
          <w:szCs w:val="24"/>
          <w:lang w:val="pl-PL"/>
        </w:rPr>
        <w:t xml:space="preserve">Korpus zabezpieczony antykorozyjnie w kolorze szarym. </w:t>
      </w:r>
    </w:p>
    <w:p w14:paraId="688CA30E" w14:textId="206C9FB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Górna powierzchnia korpusu w pełni gładka, pozwalająca na swobodne odprowadzanie wody i brudu. Nie dopuszcza się opraw o bryle posiadającej w górnej części przestrzenie czy łączenia, które gromadzą wodę lub zabrudzenia - zwłaszcza w postaci zewnętrznych użebrowań (tzw. radiatorów żeberkowych).</w:t>
      </w:r>
    </w:p>
    <w:p w14:paraId="60BAFB3B" w14:textId="3C07806F" w:rsidR="009B5588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Obudowa wraz z uchwytem, a także klipsy, dociski, zawiasy oraz wszelkie inne metalowe elementy konstrukcyjne narażone na działanie czynników zewnętrznych, zabezpieczone powinny być w technice proszkowej. Nie dopuszcza się surowego materia</w:t>
      </w:r>
      <w:r w:rsidR="005F6AFB" w:rsidRPr="00DF205D">
        <w:rPr>
          <w:rFonts w:ascii="Arial" w:hAnsi="Arial" w:cs="Arial"/>
          <w:sz w:val="24"/>
          <w:szCs w:val="24"/>
        </w:rPr>
        <w:t>łu.</w:t>
      </w:r>
      <w:r w:rsidR="005F6AFB" w:rsidRPr="00DF205D">
        <w:rPr>
          <w:rFonts w:ascii="Arial" w:hAnsi="Arial" w:cs="Arial"/>
          <w:b/>
          <w:sz w:val="24"/>
          <w:szCs w:val="24"/>
        </w:rPr>
        <w:t xml:space="preserve"> </w:t>
      </w:r>
    </w:p>
    <w:p w14:paraId="457626CA" w14:textId="0E73BFF5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Śruby, sprężyny i podkładki wykonane ze stali nierdzewnej.</w:t>
      </w:r>
    </w:p>
    <w:p w14:paraId="3702B95D" w14:textId="5897DC5F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Klipsy lub zatrzaski powinny być wyposażone w blokadę zapobiegającą przypadkowemu otwarciu oprawy.</w:t>
      </w:r>
    </w:p>
    <w:p w14:paraId="0587A4C8" w14:textId="7777777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Budowa oprawy dwukomorowa, z wydzieloną komorą elektryczną i optyczną. </w:t>
      </w:r>
    </w:p>
    <w:p w14:paraId="20F1596D" w14:textId="50071B30" w:rsidR="009B5588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Oprawa wyposażona w jednostronny filtr </w:t>
      </w:r>
      <w:proofErr w:type="spellStart"/>
      <w:r w:rsidRPr="00DF205D">
        <w:rPr>
          <w:rStyle w:val="acopre"/>
          <w:rFonts w:ascii="Arial" w:hAnsi="Arial" w:cs="Arial"/>
          <w:sz w:val="24"/>
          <w:szCs w:val="24"/>
        </w:rPr>
        <w:t>antykondensacyjny</w:t>
      </w:r>
      <w:proofErr w:type="spellEnd"/>
      <w:r w:rsidRPr="00DF205D">
        <w:rPr>
          <w:rStyle w:val="acopre"/>
          <w:rFonts w:ascii="Arial" w:hAnsi="Arial" w:cs="Arial"/>
          <w:sz w:val="24"/>
          <w:szCs w:val="24"/>
        </w:rPr>
        <w:t xml:space="preserve"> usuwający zawilgocenia i wyrównujący ciśnienie w oprawie.</w:t>
      </w:r>
    </w:p>
    <w:p w14:paraId="040A0E37" w14:textId="77777777" w:rsidR="00C258E2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Oprawy wykonane w II klasie ochronności zgodnie z normą PN-EN 60529.</w:t>
      </w:r>
    </w:p>
    <w:p w14:paraId="5A244BFE" w14:textId="77777777" w:rsidR="00C258E2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Oprawa musi być odporna na warunki atmosferyczne oraz temperatury panujące na zewnątrz i charakteryzować się bardzo wysoką szczelnością – min. IP66 dla całej oprawy oraz każdej komory z osobna. </w:t>
      </w:r>
    </w:p>
    <w:p w14:paraId="2E227B58" w14:textId="5243976E" w:rsidR="00732F37" w:rsidRPr="00905F75" w:rsidRDefault="00732F37" w:rsidP="00905F75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Oprawa wyposażona w górnej części w standaryzowane złącze </w:t>
      </w:r>
      <w:proofErr w:type="spellStart"/>
      <w:r w:rsidRPr="00DF205D">
        <w:rPr>
          <w:rFonts w:ascii="Arial" w:hAnsi="Arial" w:cs="Arial"/>
          <w:sz w:val="24"/>
          <w:szCs w:val="24"/>
        </w:rPr>
        <w:t>Zhaga</w:t>
      </w:r>
      <w:proofErr w:type="spellEnd"/>
      <w:r w:rsidRPr="00DF205D">
        <w:rPr>
          <w:rFonts w:ascii="Arial" w:hAnsi="Arial" w:cs="Arial"/>
          <w:sz w:val="24"/>
          <w:szCs w:val="24"/>
        </w:rPr>
        <w:t>, zabezpieczone zaślepką.</w:t>
      </w:r>
    </w:p>
    <w:p w14:paraId="02A5F039" w14:textId="77777777" w:rsidR="009E2B48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color w:val="00B050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Odporność na udary mechaniczne całej oprawy min. IK09. </w:t>
      </w:r>
    </w:p>
    <w:p w14:paraId="0A626305" w14:textId="411FCFDE" w:rsidR="005F6AFB" w:rsidRPr="00583683" w:rsidRDefault="005F6AFB" w:rsidP="00CC655C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C0504D" w:themeColor="accent2"/>
          <w:sz w:val="24"/>
          <w:szCs w:val="24"/>
          <w:lang w:val="pl-PL"/>
        </w:rPr>
      </w:pPr>
      <w:r w:rsidRPr="00583683">
        <w:rPr>
          <w:rFonts w:ascii="Arial" w:hAnsi="Arial" w:cs="Arial"/>
          <w:bCs/>
          <w:sz w:val="24"/>
          <w:szCs w:val="24"/>
        </w:rPr>
        <w:lastRenderedPageBreak/>
        <w:t>Oprawa musi spełniać wymagania wibracyjne IEC 60068-2-6. Wymagany jest raport z badań pochodzący z akredytowanego</w:t>
      </w:r>
      <w:r w:rsidRPr="00583683">
        <w:rPr>
          <w:rFonts w:ascii="Arial" w:hAnsi="Arial" w:cs="Arial"/>
          <w:bCs/>
          <w:sz w:val="24"/>
          <w:szCs w:val="24"/>
          <w:lang w:val="pl-PL"/>
        </w:rPr>
        <w:t xml:space="preserve"> laboratorium </w:t>
      </w:r>
      <w:r w:rsidRPr="00583683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</w:t>
      </w:r>
    </w:p>
    <w:p w14:paraId="0A485FD9" w14:textId="3E562E28" w:rsidR="00CC655C" w:rsidRPr="00583683" w:rsidRDefault="00CC655C" w:rsidP="00CC655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583683">
        <w:rPr>
          <w:rFonts w:ascii="Arial" w:hAnsi="Arial" w:cs="Arial"/>
          <w:bCs/>
          <w:sz w:val="24"/>
          <w:szCs w:val="24"/>
        </w:rPr>
        <w:t xml:space="preserve">Oprawy muszą spełniać wymagania normy EN 62471 „Bezpieczeństwo fotobiologiczne lamp i systemów lampowych” </w:t>
      </w:r>
    </w:p>
    <w:p w14:paraId="25535A3A" w14:textId="611BAF62" w:rsidR="00583683" w:rsidRDefault="00732F37" w:rsidP="00583683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583683">
        <w:rPr>
          <w:rFonts w:ascii="Arial" w:hAnsi="Arial" w:cs="Arial"/>
          <w:color w:val="000000" w:themeColor="text1"/>
          <w:sz w:val="24"/>
          <w:szCs w:val="24"/>
        </w:rPr>
        <w:t>Jako potwierdzenie parametrów, jakości i bezpieczeństwa dla sieci, wszystkie oprawy muszą posiadać deklarację zgodności WE, c</w:t>
      </w:r>
      <w:r w:rsidR="00CC655C" w:rsidRPr="00583683">
        <w:rPr>
          <w:rFonts w:ascii="Arial" w:hAnsi="Arial" w:cs="Arial"/>
          <w:color w:val="000000" w:themeColor="text1"/>
          <w:sz w:val="24"/>
          <w:szCs w:val="24"/>
        </w:rPr>
        <w:t>ertyfikat CE oraz ENEC i ENEC+</w:t>
      </w:r>
      <w:r w:rsidR="00583683" w:rsidRPr="005836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683" w:rsidRPr="00583683">
        <w:rPr>
          <w:rFonts w:ascii="Arial" w:hAnsi="Arial" w:cs="Arial"/>
          <w:color w:val="000000"/>
          <w:sz w:val="24"/>
          <w:szCs w:val="24"/>
        </w:rPr>
        <w:t>lub równoważne</w:t>
      </w:r>
      <w:r w:rsidR="00583683" w:rsidRPr="00583683">
        <w:rPr>
          <w:rFonts w:ascii="Arial" w:hAnsi="Arial" w:cs="Arial"/>
          <w:sz w:val="24"/>
          <w:szCs w:val="24"/>
        </w:rPr>
        <w:t xml:space="preserve"> </w:t>
      </w:r>
    </w:p>
    <w:p w14:paraId="106A3678" w14:textId="48A60D27" w:rsidR="00C258E2" w:rsidRPr="000F2947" w:rsidRDefault="00732F37" w:rsidP="00583683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F2947">
        <w:rPr>
          <w:rFonts w:ascii="Arial" w:hAnsi="Arial" w:cs="Arial"/>
          <w:sz w:val="24"/>
          <w:szCs w:val="24"/>
        </w:rPr>
        <w:t xml:space="preserve">Wymagany certyfikat ZD4i dla zasilacza i oprawy, zgodnie z </w:t>
      </w:r>
      <w:proofErr w:type="spellStart"/>
      <w:r w:rsidRPr="000F2947">
        <w:rPr>
          <w:rFonts w:ascii="Arial" w:hAnsi="Arial" w:cs="Arial"/>
          <w:sz w:val="24"/>
          <w:szCs w:val="24"/>
        </w:rPr>
        <w:t>Zhaga</w:t>
      </w:r>
      <w:proofErr w:type="spellEnd"/>
      <w:r w:rsidRPr="000F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947">
        <w:rPr>
          <w:rFonts w:ascii="Arial" w:hAnsi="Arial" w:cs="Arial"/>
          <w:sz w:val="24"/>
          <w:szCs w:val="24"/>
        </w:rPr>
        <w:t>Book</w:t>
      </w:r>
      <w:proofErr w:type="spellEnd"/>
      <w:r w:rsidRPr="000F2947">
        <w:rPr>
          <w:rFonts w:ascii="Arial" w:hAnsi="Arial" w:cs="Arial"/>
          <w:sz w:val="24"/>
          <w:szCs w:val="24"/>
        </w:rPr>
        <w:t xml:space="preserve"> 18, potwierdzony umieszczeniem producenta i oprawy na stronie konsorcjum </w:t>
      </w:r>
      <w:proofErr w:type="spellStart"/>
      <w:r w:rsidRPr="000F2947">
        <w:rPr>
          <w:rFonts w:ascii="Arial" w:hAnsi="Arial" w:cs="Arial"/>
          <w:sz w:val="24"/>
          <w:szCs w:val="24"/>
        </w:rPr>
        <w:t>Zhaga</w:t>
      </w:r>
      <w:proofErr w:type="spellEnd"/>
      <w:r w:rsidRPr="000F2947">
        <w:rPr>
          <w:rFonts w:ascii="Arial" w:hAnsi="Arial" w:cs="Arial"/>
          <w:sz w:val="24"/>
          <w:szCs w:val="24"/>
        </w:rPr>
        <w:t>.</w:t>
      </w:r>
    </w:p>
    <w:p w14:paraId="492AD31B" w14:textId="55B845E0" w:rsidR="00732F37" w:rsidRPr="001306E1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Wymagane zabezpieczenie przeciwko przegrzaniu oprawy (NTC).</w:t>
      </w:r>
    </w:p>
    <w:p w14:paraId="799D0816" w14:textId="75949942" w:rsidR="00C258E2" w:rsidRPr="001306E1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Klosz</w:t>
      </w:r>
      <w:r w:rsidR="001306E1" w:rsidRPr="001306E1">
        <w:rPr>
          <w:rFonts w:ascii="Arial" w:hAnsi="Arial" w:cs="Arial"/>
          <w:sz w:val="24"/>
          <w:szCs w:val="24"/>
          <w:lang w:val="pl-PL"/>
        </w:rPr>
        <w:t xml:space="preserve"> - </w:t>
      </w:r>
      <w:r w:rsidRPr="001306E1">
        <w:rPr>
          <w:rFonts w:ascii="Arial" w:hAnsi="Arial" w:cs="Arial"/>
          <w:sz w:val="24"/>
          <w:szCs w:val="24"/>
        </w:rPr>
        <w:t xml:space="preserve"> chroniący diody stanowi jednolita, w pełni przezroczysta szyba hartowana , zapewniająca odporność na działanie UV, szczelność i odporność na uderzenia</w:t>
      </w:r>
    </w:p>
    <w:p w14:paraId="430167EB" w14:textId="184C3EFD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Źródło światła stanowi w pełni matryca wielosoczewkowa LED, w której każda dioda posiada dedykowaną soczewkę o identycznej optyce, przez co w przypadku przepalenia pojedynczej diody lub części płytki, nie zmieni się rozsył oprawy, a jedynie jej strumień Nie dopuszcza się opraw wykonanych w technice odbłyśnikowej lub mieszanej.</w:t>
      </w:r>
    </w:p>
    <w:p w14:paraId="058B5DCA" w14:textId="4FCC37EC" w:rsidR="00732F37" w:rsidRPr="00DF205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  <w:lang w:val="pl-PL"/>
        </w:rPr>
        <w:t xml:space="preserve">Przewidywany czas eksploatacji: L90B10 – 100 000 h. </w:t>
      </w:r>
    </w:p>
    <w:p w14:paraId="4E99BCC3" w14:textId="477F2AAF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Barwa światła ciepła lub neutralna z przedziału </w:t>
      </w:r>
      <w:r w:rsidR="00BD5CF1" w:rsidRPr="00DF205D">
        <w:rPr>
          <w:rFonts w:ascii="Arial" w:hAnsi="Arial" w:cs="Arial"/>
          <w:sz w:val="24"/>
          <w:szCs w:val="24"/>
          <w:lang w:val="pl-PL"/>
        </w:rPr>
        <w:t>3900-4100 K</w:t>
      </w:r>
      <w:r w:rsidRPr="00DF205D">
        <w:rPr>
          <w:rFonts w:ascii="Arial" w:hAnsi="Arial" w:cs="Arial"/>
          <w:sz w:val="24"/>
          <w:szCs w:val="24"/>
        </w:rPr>
        <w:t>.</w:t>
      </w:r>
    </w:p>
    <w:p w14:paraId="7AEB6F62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Skuteczność świetlna oprawy na wyjściu, uwzględniająca wszystkie straty min. 135lm/W.</w:t>
      </w:r>
    </w:p>
    <w:p w14:paraId="351D0E0B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Strumień świetlny oprawy nie niższy niż 4000 lm, rozumiany jako wyjściowy, wypadkowy strumień świetlny oprawy, uwzględniający wszelkie straty.</w:t>
      </w:r>
    </w:p>
    <w:p w14:paraId="36B0972F" w14:textId="02487674" w:rsidR="00732F37" w:rsidRPr="00DF205D" w:rsidRDefault="007B26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Moc ca</w:t>
      </w:r>
      <w:r w:rsidRPr="00DF205D">
        <w:rPr>
          <w:rFonts w:ascii="Arial" w:hAnsi="Arial" w:cs="Arial"/>
          <w:sz w:val="24"/>
          <w:szCs w:val="24"/>
          <w:lang w:val="pl-PL"/>
        </w:rPr>
        <w:t>łkowita oprawy według obliczeń fotometrycznych</w:t>
      </w:r>
      <w:r w:rsidR="000527A1" w:rsidRPr="00DF205D">
        <w:rPr>
          <w:rFonts w:ascii="Arial" w:hAnsi="Arial" w:cs="Arial"/>
          <w:sz w:val="24"/>
          <w:szCs w:val="24"/>
          <w:lang w:val="pl-PL"/>
        </w:rPr>
        <w:t xml:space="preserve"> np. w programie </w:t>
      </w:r>
      <w:proofErr w:type="spellStart"/>
      <w:r w:rsidR="000527A1" w:rsidRPr="00DF205D">
        <w:rPr>
          <w:rFonts w:ascii="Arial" w:hAnsi="Arial" w:cs="Arial"/>
          <w:sz w:val="24"/>
          <w:szCs w:val="24"/>
          <w:lang w:val="pl-PL"/>
        </w:rPr>
        <w:t>Dialux</w:t>
      </w:r>
      <w:proofErr w:type="spellEnd"/>
      <w:r w:rsidR="000527A1" w:rsidRPr="00DF205D">
        <w:rPr>
          <w:rFonts w:ascii="Arial" w:hAnsi="Arial" w:cs="Arial"/>
          <w:sz w:val="24"/>
          <w:szCs w:val="24"/>
          <w:lang w:val="pl-PL"/>
        </w:rPr>
        <w:t xml:space="preserve">. </w:t>
      </w:r>
      <w:proofErr w:type="spellStart"/>
      <w:r w:rsidR="000527A1" w:rsidRPr="00DF205D">
        <w:rPr>
          <w:rFonts w:ascii="Arial" w:hAnsi="Arial" w:cs="Arial"/>
          <w:sz w:val="24"/>
          <w:szCs w:val="24"/>
          <w:lang w:val="pl-PL"/>
        </w:rPr>
        <w:t>Relux</w:t>
      </w:r>
      <w:proofErr w:type="spellEnd"/>
      <w:r w:rsidRPr="00DF205D">
        <w:rPr>
          <w:rFonts w:ascii="Arial" w:hAnsi="Arial" w:cs="Arial"/>
          <w:sz w:val="24"/>
          <w:szCs w:val="24"/>
          <w:lang w:val="pl-PL"/>
        </w:rPr>
        <w:t xml:space="preserve">. </w:t>
      </w:r>
      <w:r w:rsidR="00732F37" w:rsidRPr="00DF205D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366921B" w14:textId="3F4A5283" w:rsidR="00CC655C" w:rsidRPr="00DF205D" w:rsidRDefault="00CC655C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Dostępność plików fotometrycznych (np. format .</w:t>
      </w:r>
      <w:proofErr w:type="spellStart"/>
      <w:r w:rsidRPr="00DF205D">
        <w:rPr>
          <w:rFonts w:ascii="Arial" w:hAnsi="Arial" w:cs="Arial"/>
          <w:sz w:val="24"/>
          <w:szCs w:val="24"/>
        </w:rPr>
        <w:t>Ldt</w:t>
      </w:r>
      <w:proofErr w:type="spellEnd"/>
      <w:r w:rsidRPr="00DF205D">
        <w:rPr>
          <w:rFonts w:ascii="Arial" w:hAnsi="Arial" w:cs="Arial"/>
          <w:sz w:val="24"/>
          <w:szCs w:val="24"/>
        </w:rPr>
        <w:t>, .</w:t>
      </w:r>
      <w:proofErr w:type="spellStart"/>
      <w:r w:rsidRPr="00DF205D">
        <w:rPr>
          <w:rFonts w:ascii="Arial" w:hAnsi="Arial" w:cs="Arial"/>
          <w:sz w:val="24"/>
          <w:szCs w:val="24"/>
        </w:rPr>
        <w:t>les</w:t>
      </w:r>
      <w:proofErr w:type="spellEnd"/>
      <w:r w:rsidRPr="00DF205D">
        <w:rPr>
          <w:rFonts w:ascii="Arial" w:hAnsi="Arial" w:cs="Arial"/>
          <w:sz w:val="24"/>
          <w:szCs w:val="24"/>
        </w:rPr>
        <w:t xml:space="preserve">). Pliki zamieszczone na stronie internetowej producenta lub dystrybutora pozwalające wykonać sprawdzające obliczenia fotometryczne w ogólnodostępnych oświetleniowych programach komputerowych (np. </w:t>
      </w:r>
      <w:proofErr w:type="spellStart"/>
      <w:r w:rsidRPr="00DF205D">
        <w:rPr>
          <w:rFonts w:ascii="Arial" w:hAnsi="Arial" w:cs="Arial"/>
          <w:sz w:val="24"/>
          <w:szCs w:val="24"/>
        </w:rPr>
        <w:t>Dialux</w:t>
      </w:r>
      <w:proofErr w:type="spellEnd"/>
      <w:r w:rsidRPr="00DF20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5D">
        <w:rPr>
          <w:rFonts w:ascii="Arial" w:hAnsi="Arial" w:cs="Arial"/>
          <w:sz w:val="24"/>
          <w:szCs w:val="24"/>
        </w:rPr>
        <w:t>Relux</w:t>
      </w:r>
      <w:proofErr w:type="spellEnd"/>
      <w:r w:rsidRPr="00DF205D">
        <w:rPr>
          <w:rFonts w:ascii="Arial" w:hAnsi="Arial" w:cs="Arial"/>
          <w:sz w:val="24"/>
          <w:szCs w:val="24"/>
        </w:rPr>
        <w:t>)</w:t>
      </w:r>
    </w:p>
    <w:p w14:paraId="2FA4C216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Wskaźnik oddawania barw Ra&gt;70, </w:t>
      </w:r>
    </w:p>
    <w:p w14:paraId="1F6EFC6F" w14:textId="4B7F1D66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color w:val="00B050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Oprawa przystosowana do temperatur pracy w zakresie minimum -40°C do +50°C.</w:t>
      </w:r>
      <w:r w:rsidRPr="00DF205D">
        <w:rPr>
          <w:rStyle w:val="acopre"/>
          <w:rFonts w:ascii="Arial" w:hAnsi="Arial" w:cs="Arial"/>
          <w:sz w:val="24"/>
          <w:szCs w:val="24"/>
          <w:lang w:val="pl-PL"/>
        </w:rPr>
        <w:t>0</w:t>
      </w:r>
    </w:p>
    <w:p w14:paraId="05B78264" w14:textId="71FA4CC2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Ze względu na wytrzymałość istniejących konstrukcji, wymaga się, aby maksymalna waga netto całej oprawy nie przekraczała 5,5kg.</w:t>
      </w:r>
    </w:p>
    <w:p w14:paraId="2925A70F" w14:textId="7777777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lastRenderedPageBreak/>
        <w:t>W</w:t>
      </w:r>
      <w:r w:rsidRPr="00DF205D">
        <w:rPr>
          <w:rStyle w:val="acopre"/>
          <w:rFonts w:ascii="Arial" w:hAnsi="Arial" w:cs="Arial"/>
          <w:sz w:val="24"/>
          <w:szCs w:val="24"/>
        </w:rPr>
        <w:t>spółczynnik mocy (cos</w:t>
      </w:r>
      <w:r w:rsidRPr="00DF205D">
        <w:rPr>
          <w:rFonts w:ascii="Arial" w:hAnsi="Arial" w:cs="Arial"/>
          <w:sz w:val="24"/>
          <w:szCs w:val="24"/>
        </w:rPr>
        <w:t xml:space="preserve"> </w:t>
      </w:r>
      <w:r w:rsidRPr="00DF205D">
        <w:rPr>
          <w:rStyle w:val="acopre"/>
          <w:rFonts w:ascii="Arial" w:hAnsi="Arial" w:cs="Arial"/>
          <w:sz w:val="24"/>
          <w:szCs w:val="24"/>
        </w:rPr>
        <w:t>φ) po zaprogramowaniu oprawy minimum 0,93 – zgodnie z regulacjami unijnymi. Oprawa nie powinna generować pozanormatywnej mocy biernej.</w:t>
      </w:r>
    </w:p>
    <w:p w14:paraId="600E4919" w14:textId="13F077A3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Oprawa powinna umożliwiać szybką wymianę modułu świetlnego wraz z zasilaczem bez konieczności odkręcania uchwytu i demontażu oprawy ze słupa lub wysięgnika.</w:t>
      </w:r>
      <w:r w:rsidR="009B5588" w:rsidRPr="00DF205D">
        <w:rPr>
          <w:rFonts w:ascii="Arial" w:hAnsi="Arial" w:cs="Arial"/>
          <w:sz w:val="24"/>
          <w:szCs w:val="24"/>
        </w:rPr>
        <w:t xml:space="preserve"> Wszystkie elementy i komponenty oprawy powinny umożliwiać indywidualną, łatwą wymianę, przy użyciu standardowych narzędzi, bez konieczności wykonywania połączeń lutowanych.</w:t>
      </w:r>
    </w:p>
    <w:p w14:paraId="57D25EFA" w14:textId="77777777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Otwarcie komory elektrycznej nie może powodować rozszczelnienia komory optycznej.</w:t>
      </w:r>
    </w:p>
    <w:p w14:paraId="5110A149" w14:textId="17A67D0E" w:rsidR="00703799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Uszczelki wykonane z materiałów o wysokiej jakości i trwałości, odporne na procesy starzenia i temperatury pracy oprawy, umieszczone w wydzielonym, dedykowanym kanale w sposób pewny i trwały, niezmieniający swojego kształtu i położenia.</w:t>
      </w:r>
    </w:p>
    <w:p w14:paraId="2D7B3684" w14:textId="06635294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Oprawa powinna być przystosowana do zasilania z sieci o prądzie przemiennym, napięciu zasilania w zakresie 220-240V i częstotliwości 50-60Hz. </w:t>
      </w:r>
    </w:p>
    <w:p w14:paraId="619F9B66" w14:textId="052E7E84" w:rsidR="00703799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Zasilacz oprawy o wysokiej sprawności (min. 90%), pochodzący od renomowanego producenta, obsługujący w pełni protokół </w:t>
      </w:r>
      <w:r w:rsidRPr="00DF205D">
        <w:rPr>
          <w:rFonts w:ascii="Arial" w:hAnsi="Arial" w:cs="Arial"/>
          <w:i/>
          <w:sz w:val="24"/>
          <w:szCs w:val="24"/>
        </w:rPr>
        <w:t>DALI</w:t>
      </w:r>
      <w:r w:rsidRPr="00DF205D">
        <w:rPr>
          <w:rFonts w:ascii="Arial" w:hAnsi="Arial" w:cs="Arial"/>
          <w:sz w:val="24"/>
          <w:szCs w:val="24"/>
        </w:rPr>
        <w:t xml:space="preserve"> w standardach 251, 252, 253 i DALI 2 z wyjściem 24V</w:t>
      </w:r>
      <w:r w:rsidR="00E56E25" w:rsidRPr="00DF205D">
        <w:rPr>
          <w:rFonts w:ascii="Arial" w:hAnsi="Arial" w:cs="Arial"/>
          <w:sz w:val="24"/>
          <w:szCs w:val="24"/>
          <w:lang w:val="pl-PL"/>
        </w:rPr>
        <w:t xml:space="preserve"> (</w:t>
      </w:r>
      <w:r w:rsidR="00E56E25" w:rsidRPr="00DF205D">
        <w:rPr>
          <w:rFonts w:ascii="Arial" w:hAnsi="Arial" w:cs="Arial"/>
          <w:sz w:val="24"/>
          <w:szCs w:val="24"/>
        </w:rPr>
        <w:t xml:space="preserve">lub w zasilacz </w:t>
      </w:r>
      <w:r w:rsidR="00E56E25" w:rsidRPr="00DF205D">
        <w:rPr>
          <w:rFonts w:ascii="Arial" w:hAnsi="Arial" w:cs="Arial"/>
          <w:i/>
          <w:sz w:val="24"/>
          <w:szCs w:val="24"/>
        </w:rPr>
        <w:t>D4i</w:t>
      </w:r>
      <w:r w:rsidR="00E56E25" w:rsidRPr="00DF205D">
        <w:rPr>
          <w:rFonts w:ascii="Arial" w:hAnsi="Arial" w:cs="Arial"/>
          <w:sz w:val="24"/>
          <w:szCs w:val="24"/>
          <w:lang w:val="pl-PL"/>
        </w:rPr>
        <w:t xml:space="preserve">) </w:t>
      </w:r>
      <w:r w:rsidRPr="00DF205D">
        <w:rPr>
          <w:rFonts w:ascii="Arial" w:hAnsi="Arial" w:cs="Arial"/>
          <w:sz w:val="24"/>
          <w:szCs w:val="24"/>
        </w:rPr>
        <w:t>na złącze</w:t>
      </w:r>
      <w:r w:rsidRPr="00DF20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F205D">
        <w:rPr>
          <w:rFonts w:ascii="Arial" w:hAnsi="Arial" w:cs="Arial"/>
          <w:i/>
          <w:sz w:val="24"/>
          <w:szCs w:val="24"/>
        </w:rPr>
        <w:t>Zhaga</w:t>
      </w:r>
      <w:proofErr w:type="spellEnd"/>
      <w:r w:rsidR="00E56E25" w:rsidRPr="00DF205D">
        <w:rPr>
          <w:rFonts w:ascii="Arial" w:hAnsi="Arial" w:cs="Arial"/>
          <w:sz w:val="24"/>
          <w:szCs w:val="24"/>
        </w:rPr>
        <w:t xml:space="preserve">, </w:t>
      </w:r>
      <w:r w:rsidRPr="00DF205D">
        <w:rPr>
          <w:rFonts w:ascii="Arial" w:hAnsi="Arial" w:cs="Arial"/>
          <w:sz w:val="24"/>
          <w:szCs w:val="24"/>
        </w:rPr>
        <w:t xml:space="preserve">pozwalający na zaprogramowanie co najmniej 5-stopniowej redukcji mocy. Nie dopuszcza się zasilaczy zintegrowanych z panelem </w:t>
      </w:r>
      <w:r w:rsidRPr="00DF205D">
        <w:rPr>
          <w:rFonts w:ascii="Arial" w:hAnsi="Arial" w:cs="Arial"/>
          <w:i/>
          <w:sz w:val="24"/>
          <w:szCs w:val="24"/>
        </w:rPr>
        <w:t>LED (DOB).</w:t>
      </w:r>
    </w:p>
    <w:p w14:paraId="49A9E68E" w14:textId="1E3BFC90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Zmiana sposobu montażu oprawy powinna odbywać się bez demontażu uchwytu i oprawy ze słupa.</w:t>
      </w:r>
    </w:p>
    <w:p w14:paraId="22244F17" w14:textId="7277FB95" w:rsidR="00703799" w:rsidRPr="00EC4BD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C4BDD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Ochrona przeciwprzepięciowa </w:t>
      </w:r>
    </w:p>
    <w:p w14:paraId="1F66A4C2" w14:textId="77777777" w:rsidR="00C258E2" w:rsidRPr="00DF205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  <w:lang w:val="pl-PL"/>
        </w:rPr>
        <w:t xml:space="preserve">Oprawa wyposażona w uniwersalny uchwyt pozwalający na montaż zarówno na wysięgniku jak i bezpośrednio na słupie z możliwością zamiany kąta nachylenia oprawy, regulacja oprawy skokowo, co 5 </w:t>
      </w:r>
      <w:r w:rsidRPr="00DF205D">
        <w:rPr>
          <w:rStyle w:val="acopre"/>
          <w:rFonts w:ascii="Arial" w:hAnsi="Arial" w:cs="Arial"/>
          <w:sz w:val="24"/>
          <w:szCs w:val="24"/>
        </w:rPr>
        <w:t>°</w:t>
      </w:r>
      <w:r w:rsidRPr="00DF205D">
        <w:rPr>
          <w:rStyle w:val="acopre"/>
          <w:rFonts w:ascii="Arial" w:hAnsi="Arial" w:cs="Arial"/>
          <w:sz w:val="24"/>
          <w:szCs w:val="24"/>
          <w:lang w:val="pl-PL"/>
        </w:rPr>
        <w:t xml:space="preserve">. </w:t>
      </w:r>
    </w:p>
    <w:p w14:paraId="635F66D3" w14:textId="77777777" w:rsidR="00C258E2" w:rsidRPr="00DF205D" w:rsidRDefault="00703799" w:rsidP="00CC655C">
      <w:pPr>
        <w:pStyle w:val="Akapitzlist"/>
        <w:numPr>
          <w:ilvl w:val="0"/>
          <w:numId w:val="20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w zakresie minimum od -30° do +120°</w:t>
      </w:r>
      <w:r w:rsidR="0007047A" w:rsidRPr="00DF205D">
        <w:rPr>
          <w:rStyle w:val="acopre"/>
          <w:rFonts w:ascii="Arial" w:hAnsi="Arial" w:cs="Arial"/>
          <w:sz w:val="24"/>
          <w:szCs w:val="24"/>
        </w:rPr>
        <w:t xml:space="preserve"> </w:t>
      </w:r>
      <w:r w:rsidRPr="00DF205D">
        <w:rPr>
          <w:rStyle w:val="acopre"/>
          <w:rFonts w:ascii="Arial" w:hAnsi="Arial" w:cs="Arial"/>
          <w:sz w:val="24"/>
          <w:szCs w:val="24"/>
        </w:rPr>
        <w:t xml:space="preserve">przy montażu na słupie </w:t>
      </w:r>
    </w:p>
    <w:p w14:paraId="509DBB9E" w14:textId="1DDC269A" w:rsidR="00C258E2" w:rsidRPr="00DF205D" w:rsidRDefault="00C258E2" w:rsidP="00CC655C">
      <w:pPr>
        <w:pStyle w:val="Akapitzlist"/>
        <w:numPr>
          <w:ilvl w:val="0"/>
          <w:numId w:val="20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w zakresie minimum od </w:t>
      </w:r>
      <w:r w:rsidR="00703799" w:rsidRPr="00DF205D">
        <w:rPr>
          <w:rStyle w:val="acopre"/>
          <w:rFonts w:ascii="Arial" w:hAnsi="Arial" w:cs="Arial"/>
          <w:sz w:val="24"/>
          <w:szCs w:val="24"/>
        </w:rPr>
        <w:t xml:space="preserve"> -120° do +30°</w:t>
      </w:r>
      <w:r w:rsidR="0007047A" w:rsidRPr="00DF205D">
        <w:rPr>
          <w:rStyle w:val="acopre"/>
          <w:rFonts w:ascii="Arial" w:hAnsi="Arial" w:cs="Arial"/>
          <w:sz w:val="24"/>
          <w:szCs w:val="24"/>
        </w:rPr>
        <w:t xml:space="preserve"> </w:t>
      </w:r>
      <w:r w:rsidR="00703799" w:rsidRPr="00DF205D">
        <w:rPr>
          <w:rStyle w:val="acopre"/>
          <w:rFonts w:ascii="Arial" w:hAnsi="Arial" w:cs="Arial"/>
          <w:sz w:val="24"/>
          <w:szCs w:val="24"/>
        </w:rPr>
        <w:t xml:space="preserve"> przy montażu na wysięgniku.</w:t>
      </w:r>
    </w:p>
    <w:p w14:paraId="1EC0FAC2" w14:textId="384254C6" w:rsidR="00703799" w:rsidRPr="00DF205D" w:rsidRDefault="00703799" w:rsidP="00CC655C">
      <w:pPr>
        <w:pStyle w:val="Akapitzlist"/>
        <w:numPr>
          <w:ilvl w:val="0"/>
          <w:numId w:val="19"/>
        </w:numPr>
        <w:spacing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Uchwyt przystosowany do montażu opraw na wysięgnikach lub słupach o średnicy minimum Φ48-60mm. Nie dopuszcza się stosowania dodatkowych akcesoriów montażowych dla opraw, takich jak oddzielne uchwyty, pierścienie redukcyjne, czy adaptery regulacji wychylenia.</w:t>
      </w:r>
      <w:r w:rsidR="007B2688" w:rsidRPr="00DF205D">
        <w:rPr>
          <w:rFonts w:ascii="Arial" w:hAnsi="Arial" w:cs="Arial"/>
          <w:sz w:val="24"/>
          <w:szCs w:val="24"/>
        </w:rPr>
        <w:t xml:space="preserve"> </w:t>
      </w:r>
      <w:r w:rsidR="007B2688" w:rsidRPr="00DF205D">
        <w:rPr>
          <w:rStyle w:val="acopre"/>
          <w:rFonts w:ascii="Arial" w:hAnsi="Arial" w:cs="Arial"/>
          <w:sz w:val="24"/>
          <w:szCs w:val="24"/>
        </w:rPr>
        <w:t xml:space="preserve">Oprawy powinny być dostosowane do istniejących wysięgników , w przypadku niekompatybilności wymiana wysięgnika będzie leżała  po stronie wykonawcy </w:t>
      </w:r>
    </w:p>
    <w:p w14:paraId="1053A47D" w14:textId="77777777" w:rsidR="00703799" w:rsidRPr="001306E1" w:rsidRDefault="00703799" w:rsidP="00CC655C">
      <w:pPr>
        <w:pStyle w:val="Akapitzlist"/>
        <w:numPr>
          <w:ilvl w:val="0"/>
          <w:numId w:val="1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lastRenderedPageBreak/>
        <w:t>Oprawa wyposażona w tabliczkę znamionową z nazwą i numerem seryjnym oraz w etykietę z kodem QR z przynajmniej 2 dodatkowymi naklejkami do umieszczenia np. we wnęce słupowej. Dostęp do aplikacji z poziomu komputera i urządzeń przenośnych, zabezpieczony loginem lub hasłem z odpowiednim przydziałem uprawnień dostępowych. Kod QR obsługiwany za pomocą dedykowanej aplikacji, umożliwiającej co najmniej poniższe funkcjonalności:</w:t>
      </w:r>
    </w:p>
    <w:p w14:paraId="73DA0FEC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 xml:space="preserve">- pełną identyfikację urządzenia, </w:t>
      </w:r>
    </w:p>
    <w:p w14:paraId="0FA1B9A3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uzyskanie kompletnej charakterystyki oprawy i danych katalogowych, obejmujących parametry fotometryczne, elektryczne, mechaniczne, kolorymetryczne, na dzień produkcji,</w:t>
      </w:r>
    </w:p>
    <w:p w14:paraId="4A5B6114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dostęp do instrukcji montażu i serwisu oraz certyfikatów,</w:t>
      </w:r>
    </w:p>
    <w:p w14:paraId="2EA82551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 xml:space="preserve">- wyeksportowanie danych lokalizacyjnych opraw do ogólnodostępnych map </w:t>
      </w:r>
      <w:r w:rsidRPr="001306E1">
        <w:rPr>
          <w:rFonts w:ascii="Arial" w:hAnsi="Arial" w:cs="Arial"/>
          <w:sz w:val="24"/>
          <w:szCs w:val="24"/>
        </w:rPr>
        <w:br/>
        <w:t>i przeglądanie oraz namierzanie lokalizacji oprawy z poziomu aplikacji,</w:t>
      </w:r>
    </w:p>
    <w:p w14:paraId="03AC613B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przypisywanie, zarządzanie i przeglądanie opraw pomiędzy inwestycjami, z podglądem indywidualnym i wspólnym wszystkich opraw na mapie</w:t>
      </w:r>
    </w:p>
    <w:p w14:paraId="071ACEE2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wprowadzenie indywidualnych opisów czy informacji o instalacji – np. danych słupa, wysokości, wysięgników,</w:t>
      </w:r>
    </w:p>
    <w:p w14:paraId="68F4C8BA" w14:textId="30F4EC80" w:rsidR="008144F3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funkcje obsługi wspomagające sprawne przeprowadzenie audytu oświetlenia.</w:t>
      </w:r>
    </w:p>
    <w:p w14:paraId="70AD21F4" w14:textId="2429D326" w:rsidR="00CC655C" w:rsidRDefault="00CC655C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n)  Ze względów estetycznych i dla ujednolicenia wyglądu instalacji oświetleniowej wymaga się, aby oprawy danego rodzaju (np. drogowe) o różnych mocach posiadały jednakowy kształt (jedna rodzina opraw)</w:t>
      </w:r>
      <w:r w:rsidR="00605B2D">
        <w:rPr>
          <w:rFonts w:ascii="Arial" w:hAnsi="Arial" w:cs="Arial"/>
          <w:sz w:val="24"/>
          <w:szCs w:val="24"/>
        </w:rPr>
        <w:t>.</w:t>
      </w:r>
    </w:p>
    <w:p w14:paraId="1C9200D0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835FEE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3A7FFD58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5B26D94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C698CF8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851F7A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B97DC7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BF2F1F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238837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4D19438D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5D415CB4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F8E4620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0250036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ABDBCDA" w14:textId="77777777" w:rsidR="00EF460C" w:rsidRDefault="00EF460C" w:rsidP="00854A7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65"/>
      </w:tblGrid>
      <w:tr w:rsidR="008144F3" w14:paraId="47EEC4A4" w14:textId="77777777" w:rsidTr="004C789D">
        <w:trPr>
          <w:trHeight w:val="37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6FB9DA0B" w14:textId="007012C6" w:rsidR="008144F3" w:rsidRDefault="008144F3" w:rsidP="0081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OPRAWY PARKOWE LED</w:t>
            </w:r>
          </w:p>
        </w:tc>
      </w:tr>
    </w:tbl>
    <w:p w14:paraId="2DFAB01B" w14:textId="77777777" w:rsidR="008144F3" w:rsidRDefault="008144F3" w:rsidP="008144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875B74" w14:textId="2C2AFD64" w:rsidR="008144F3" w:rsidRPr="00075014" w:rsidRDefault="008144F3" w:rsidP="00075014">
      <w:pPr>
        <w:spacing w:line="360" w:lineRule="auto"/>
        <w:rPr>
          <w:rFonts w:ascii="Arial" w:hAnsi="Arial" w:cs="Arial"/>
        </w:rPr>
      </w:pPr>
      <w:r w:rsidRPr="00075014">
        <w:rPr>
          <w:rFonts w:ascii="Arial" w:hAnsi="Arial" w:cs="Arial"/>
        </w:rPr>
        <w:t>Oprawy parkowe typu LED, o konstrukcji dwukomorowej, z zintegrowanym uchwytem oraz obudową wykonaną w pełni z Aluminium</w:t>
      </w:r>
      <w:r w:rsidR="00075014">
        <w:rPr>
          <w:rFonts w:ascii="Arial" w:hAnsi="Arial" w:cs="Arial"/>
        </w:rPr>
        <w:t xml:space="preserve"> korpusu</w:t>
      </w:r>
      <w:r w:rsidRPr="00075014">
        <w:rPr>
          <w:rFonts w:ascii="Arial" w:hAnsi="Arial" w:cs="Arial"/>
        </w:rPr>
        <w:t xml:space="preserve">, o gładkiej górnej powierzchni, z kloszem ze szkła hartowanego i matrycą soczewkową, charakteryzujące się wysoką szczelnością, trwałością oraz odpornością na uderzenia i zewnętrzne czynniki. Budowa oprawy oświetleniowej pozwala na szybki, </w:t>
      </w:r>
      <w:proofErr w:type="spellStart"/>
      <w:r w:rsidRPr="00075014">
        <w:rPr>
          <w:rFonts w:ascii="Arial" w:hAnsi="Arial" w:cs="Arial"/>
        </w:rPr>
        <w:t>beznarzędziowy</w:t>
      </w:r>
      <w:proofErr w:type="spellEnd"/>
      <w:r w:rsidRPr="00075014">
        <w:rPr>
          <w:rFonts w:ascii="Arial" w:hAnsi="Arial" w:cs="Arial"/>
        </w:rPr>
        <w:t xml:space="preserve"> dostęp do komory elektrycznej oraz bezproblemową wymianę wszystkich komponentów, bez konieczności wykonywania połączeń lutowanych.</w:t>
      </w:r>
    </w:p>
    <w:p w14:paraId="0C478222" w14:textId="77777777" w:rsidR="001A406B" w:rsidRPr="00075014" w:rsidRDefault="001A406B" w:rsidP="00075014">
      <w:pPr>
        <w:spacing w:line="360" w:lineRule="auto"/>
        <w:rPr>
          <w:rFonts w:ascii="Arial" w:hAnsi="Arial" w:cs="Arial"/>
        </w:rPr>
      </w:pPr>
    </w:p>
    <w:p w14:paraId="01CD0E43" w14:textId="2E58083A" w:rsidR="00732F37" w:rsidRPr="00075014" w:rsidRDefault="008144F3" w:rsidP="00075014">
      <w:pPr>
        <w:spacing w:line="360" w:lineRule="auto"/>
        <w:rPr>
          <w:rFonts w:ascii="Arial" w:hAnsi="Arial" w:cs="Arial"/>
        </w:rPr>
      </w:pPr>
      <w:r w:rsidRPr="00075014">
        <w:rPr>
          <w:rFonts w:ascii="Arial" w:hAnsi="Arial" w:cs="Arial"/>
        </w:rPr>
        <w:t>Wymagane cechy oprawy:</w:t>
      </w:r>
    </w:p>
    <w:p w14:paraId="549A8292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Budowa oprawy: dwukomorowa </w:t>
      </w:r>
    </w:p>
    <w:p w14:paraId="46900B0F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Materiał korpusu oraz pokrywy: odlew aluminiowy malowany proszkowo na wybrany kolor z ogólnodostępnej palety</w:t>
      </w:r>
    </w:p>
    <w:p w14:paraId="1F050722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Wnętrze komory optycznej, komory elektrycznej oraz elementy oprawy (np. pokrywa, uchwyt montażowy) zabezpieczone przed korozją powłoką lakierniczą. Nie dopuszcza się surowego materiału</w:t>
      </w:r>
    </w:p>
    <w:p w14:paraId="1EEF5E2C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Materiał klosza: Klosz „pełny”, przezroczysty z PC, wypełniający całą przestrzeń pomiędzy ramionami opraw</w:t>
      </w:r>
    </w:p>
    <w:p w14:paraId="5FFC8803" w14:textId="6886F5D6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Stopień odporności klosz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</w:rPr>
        <w:t xml:space="preserve">a na uderzenia mechaniczne: 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min. 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</w:rPr>
        <w:t>IK08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. Wymagany jest raport z badań pochodzący z akredytowanego laboratorium</w:t>
      </w:r>
    </w:p>
    <w:p w14:paraId="5BBBF016" w14:textId="5EF6FE10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Szczelność komory optycznej</w:t>
      </w:r>
      <w:r w:rsidR="000527A1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i elektrycznej: 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IP66</w:t>
      </w:r>
      <w:r w:rsidR="000527A1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Wymagany jest raport z badań szczelności pochodzący z akredytowanego laboratorium</w:t>
      </w:r>
    </w:p>
    <w:p w14:paraId="53F663D8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przystosowana do montażu na słupie o średnicy Ø60mm za pomocą nasadki wykonanej z odlewu aluminiowego, malowanej proszkowo na kolor opraw</w:t>
      </w:r>
    </w:p>
    <w:p w14:paraId="5FF68BAA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system regulacji ciśnienia wewnątrz oprawy, zapobiegający zjawisku kondensacji pary wodnej w komorze elektrycznej</w:t>
      </w:r>
    </w:p>
    <w:p w14:paraId="3D966698" w14:textId="5BFC2082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Temperatura barwowa źródeł światła: </w:t>
      </w:r>
      <w:r w:rsidR="005700FE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>3500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</w:rPr>
        <w:t xml:space="preserve"> – 4000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>K</w:t>
      </w:r>
    </w:p>
    <w:p w14:paraId="406FD6EE" w14:textId="433655D2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B050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Trwałość strumienia światła oprawy mierzona parametrem L90B10 dla temperatury </w:t>
      </w:r>
      <w:r w:rsidR="001A406B" w:rsidRPr="00075014">
        <w:rPr>
          <w:rFonts w:ascii="Arial" w:hAnsi="Arial" w:cs="Arial"/>
          <w:color w:val="000000" w:themeColor="text1"/>
          <w:sz w:val="24"/>
          <w:szCs w:val="24"/>
        </w:rPr>
        <w:br/>
      </w: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TC = 105°C min. 100 000h (zgodnie z IES LM-80 TM-21) </w:t>
      </w:r>
    </w:p>
    <w:p w14:paraId="2BD482B4" w14:textId="77777777" w:rsidR="00075014" w:rsidRPr="00075014" w:rsidRDefault="00075014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Moc całkowita oprawy według obliczeń fotometrycznych np. w programie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Dialux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Relux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440076A9" w14:textId="7EFD88C3" w:rsidR="00075014" w:rsidRPr="00075014" w:rsidRDefault="00075014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lastRenderedPageBreak/>
        <w:t>Dostępność plików fotometrycznych (np. format .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Ldt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>, .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les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). Pliki zamieszczone na stronie internetowej producenta lub dystrybutora pozwalające wykonać sprawdzające obliczenia fotometryczne w ogólnodostępnych oświetleniowych programach komputerowych (np.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Dialux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Relux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024B5394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Wartości wskaźnika udziału światła wysyłanego ku górze (ULOR) nie większa niż określona w Rozporządzeniu WE nr 245/2009</w:t>
      </w:r>
    </w:p>
    <w:p w14:paraId="1ED21295" w14:textId="3FF226CF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za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</w:rPr>
        <w:t>bezpieczenie przed przepięciami.</w:t>
      </w:r>
    </w:p>
    <w:p w14:paraId="058BADCB" w14:textId="16874005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wyposażona w niskonapięciowe gniazdo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Zhaga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 i zgodna ze standaryzacją </w:t>
      </w:r>
      <w:r w:rsidR="001A406B" w:rsidRPr="00075014">
        <w:rPr>
          <w:rFonts w:ascii="Arial" w:hAnsi="Arial" w:cs="Arial"/>
          <w:color w:val="000000" w:themeColor="text1"/>
          <w:sz w:val="24"/>
          <w:szCs w:val="24"/>
        </w:rPr>
        <w:br/>
      </w: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DALI lub D4i </w:t>
      </w:r>
    </w:p>
    <w:p w14:paraId="70022446" w14:textId="7CA6D4A1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wykonana w II klasie ochronności elektrycznej, znamionowe napięcie zasilania 220-240 V / 50-60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Hz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69BB1B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być oznakowana znakiem CE oraz posiadać deklarację zgodności  </w:t>
      </w:r>
    </w:p>
    <w:p w14:paraId="43EAA8D4" w14:textId="27382CEF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posiadać aktualny certyfikat akredytowanego ośrodka badawczego potwierdzający wykonanie wyrobu zgodnie z Normami zharmonizowanymi z Dyrektywą LVD (PN-EN 60598-1/PN-EN 60598-2-3) oraz zachowanie reżimów produkcji i jej powtarzalności, zgodnie z Typem 5 wg ISO/IEC 17067. Certyfikat musi zawierać adres fabryki - certyfikat ENEC </w:t>
      </w:r>
    </w:p>
    <w:p w14:paraId="288F29F8" w14:textId="0DDFDF4C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musi posiadać aktualny certyfikat akredytowanego ośrodka badawczego potwierdzający wiarygodność podawanych przez producenta parametrów funkcjonalnych deklarowanych w momencie wprowadzenia wyrobu do obrotu, takich jak: napięcie zasilania, klasa ochronności elektrycznej, pobierana moc, skuteczność świetlna, temperatura barwowa, strumień świetlny - certyfikat ENEC+</w:t>
      </w:r>
    </w:p>
    <w:p w14:paraId="3DDE8917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posiadać certyfikat Zhaga-D4i, publikowany na oficjalnej stronie ZHAGA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Consortium</w:t>
      </w:r>
      <w:proofErr w:type="spellEnd"/>
    </w:p>
    <w:p w14:paraId="0B1BDC40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etykietę z kodem QR wraz z dodatkową naklejką do umieszczenia np. we wnęce słupowej i/lub na projekcie. Kod QR poprzez użycie dedykowanej aplikacji producenta umożliwia uzyskanie pełnej charakterystyki oprawy i dostęp do informacji takich jak:</w:t>
      </w:r>
    </w:p>
    <w:p w14:paraId="6AD9AF52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parametry fotometryczne, elektryczne oraz mechaniczne</w:t>
      </w:r>
    </w:p>
    <w:p w14:paraId="5321AB06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dokumentacja oprawy, instrukcja montażu</w:t>
      </w:r>
    </w:p>
    <w:p w14:paraId="55B9F4B5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instrukcja serwisowania w przypadku nieprawidłowego działania oprawy oświetleniowej</w:t>
      </w:r>
    </w:p>
    <w:p w14:paraId="2D3B81F0" w14:textId="59EDADB4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- lista części zamiennych wraz z kodami producenta  </w:t>
      </w:r>
    </w:p>
    <w:p w14:paraId="29445275" w14:textId="77777777" w:rsidR="00066FC3" w:rsidRPr="00075014" w:rsidRDefault="00066FC3" w:rsidP="00075014">
      <w:pPr>
        <w:spacing w:line="360" w:lineRule="auto"/>
        <w:rPr>
          <w:rFonts w:ascii="Arial" w:hAnsi="Arial" w:cs="Arial"/>
          <w:color w:val="D99594" w:themeColor="accent2" w:themeTint="99"/>
        </w:rPr>
      </w:pPr>
    </w:p>
    <w:p w14:paraId="65AE804F" w14:textId="77777777" w:rsidR="00703799" w:rsidRPr="00075014" w:rsidRDefault="00703799" w:rsidP="00917F98">
      <w:pPr>
        <w:spacing w:line="360" w:lineRule="auto"/>
        <w:jc w:val="both"/>
        <w:rPr>
          <w:rStyle w:val="acopre"/>
          <w:rFonts w:ascii="Arial" w:hAnsi="Arial" w:cs="Arial"/>
          <w:b/>
          <w:bCs/>
        </w:rPr>
      </w:pPr>
      <w:r w:rsidRPr="00075014">
        <w:rPr>
          <w:rStyle w:val="acopre"/>
          <w:rFonts w:ascii="Arial" w:hAnsi="Arial" w:cs="Arial"/>
          <w:b/>
          <w:bCs/>
        </w:rPr>
        <w:t>W przypadku zastosowania rozwiązań zamiennych, należy dostarczyć wszelkie środki dowodowe, potwierdzające zgodność z wszystkimi wymaganiami, w szczególności karty katalogowe, certyfikaty, aprobaty techniczne</w:t>
      </w:r>
      <w:r w:rsidRPr="00075014">
        <w:rPr>
          <w:rStyle w:val="acopre"/>
          <w:rFonts w:ascii="Arial" w:hAnsi="Arial" w:cs="Arial"/>
          <w:b/>
          <w:bCs/>
          <w:color w:val="0070C0"/>
        </w:rPr>
        <w:t>.</w:t>
      </w:r>
    </w:p>
    <w:p w14:paraId="245C1FFA" w14:textId="77777777" w:rsidR="00C5164C" w:rsidRPr="00075014" w:rsidRDefault="00C5164C" w:rsidP="00075014">
      <w:pPr>
        <w:spacing w:line="360" w:lineRule="auto"/>
        <w:rPr>
          <w:rStyle w:val="acopre"/>
          <w:rFonts w:ascii="Arial" w:hAnsi="Arial" w:cs="Arial"/>
          <w:b/>
          <w:bCs/>
        </w:rPr>
      </w:pPr>
    </w:p>
    <w:p w14:paraId="40519CA5" w14:textId="4AC675B8" w:rsidR="00703799" w:rsidRPr="00703799" w:rsidRDefault="00703799" w:rsidP="001A406B">
      <w:pPr>
        <w:spacing w:line="360" w:lineRule="auto"/>
        <w:rPr>
          <w:rFonts w:ascii="Arial" w:hAnsi="Arial" w:cs="Arial"/>
          <w:color w:val="C00000"/>
          <w:sz w:val="22"/>
          <w:szCs w:val="22"/>
        </w:rPr>
      </w:pPr>
      <w:r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 xml:space="preserve">Oferty </w:t>
      </w:r>
      <w:r w:rsidR="00DC61AA"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>niespełniające</w:t>
      </w:r>
      <w:r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 xml:space="preserve"> powyższych zapisów i wymagań będą odrzucane.</w:t>
      </w:r>
    </w:p>
    <w:sectPr w:rsidR="00703799" w:rsidRPr="00703799" w:rsidSect="00890F08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E4B34" w14:textId="77777777" w:rsidR="004040FC" w:rsidRDefault="004040FC" w:rsidP="00BA16F7">
      <w:r>
        <w:separator/>
      </w:r>
    </w:p>
  </w:endnote>
  <w:endnote w:type="continuationSeparator" w:id="0">
    <w:p w14:paraId="328288B7" w14:textId="77777777" w:rsidR="004040FC" w:rsidRDefault="004040FC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3E7D" w14:textId="77777777" w:rsidR="004040FC" w:rsidRDefault="004040FC" w:rsidP="00BA16F7">
      <w:r>
        <w:separator/>
      </w:r>
    </w:p>
  </w:footnote>
  <w:footnote w:type="continuationSeparator" w:id="0">
    <w:p w14:paraId="2D1FF49E" w14:textId="77777777" w:rsidR="004040FC" w:rsidRDefault="004040FC" w:rsidP="00BA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C865" w14:textId="77777777" w:rsidR="004A0309" w:rsidRDefault="004A0309" w:rsidP="004A0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6A2D112" wp14:editId="5F3B85AA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2F107DC"/>
    <w:multiLevelType w:val="hybridMultilevel"/>
    <w:tmpl w:val="E71A9014"/>
    <w:lvl w:ilvl="0" w:tplc="6DC8033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7CC4F74"/>
    <w:multiLevelType w:val="hybridMultilevel"/>
    <w:tmpl w:val="FE98A22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7058"/>
    <w:multiLevelType w:val="hybridMultilevel"/>
    <w:tmpl w:val="571C5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983"/>
    <w:multiLevelType w:val="hybridMultilevel"/>
    <w:tmpl w:val="AFB685D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A49"/>
    <w:multiLevelType w:val="hybridMultilevel"/>
    <w:tmpl w:val="2CE25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5B17E8"/>
    <w:multiLevelType w:val="hybridMultilevel"/>
    <w:tmpl w:val="C486C462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F26D5"/>
    <w:multiLevelType w:val="hybridMultilevel"/>
    <w:tmpl w:val="2168E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671FF"/>
    <w:multiLevelType w:val="hybridMultilevel"/>
    <w:tmpl w:val="485EC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3" w15:restartNumberingAfterBreak="0">
    <w:nsid w:val="54FE62B8"/>
    <w:multiLevelType w:val="hybridMultilevel"/>
    <w:tmpl w:val="7BCA5EF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0209C5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CF123C"/>
    <w:multiLevelType w:val="hybridMultilevel"/>
    <w:tmpl w:val="822427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E75F4"/>
    <w:multiLevelType w:val="hybridMultilevel"/>
    <w:tmpl w:val="30BE6D66"/>
    <w:lvl w:ilvl="0" w:tplc="EA08BFC2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D3BD2"/>
    <w:multiLevelType w:val="hybridMultilevel"/>
    <w:tmpl w:val="46ACC1B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3B3BD3"/>
    <w:multiLevelType w:val="hybridMultilevel"/>
    <w:tmpl w:val="5E7E7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6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8830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660100">
    <w:abstractNumId w:val="10"/>
  </w:num>
  <w:num w:numId="4" w16cid:durableId="1935243089">
    <w:abstractNumId w:val="2"/>
  </w:num>
  <w:num w:numId="5" w16cid:durableId="1654794729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882284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5387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621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1598036">
    <w:abstractNumId w:val="13"/>
  </w:num>
  <w:num w:numId="10" w16cid:durableId="969893777">
    <w:abstractNumId w:val="5"/>
  </w:num>
  <w:num w:numId="11" w16cid:durableId="87388135">
    <w:abstractNumId w:val="9"/>
  </w:num>
  <w:num w:numId="12" w16cid:durableId="1862012044">
    <w:abstractNumId w:val="8"/>
  </w:num>
  <w:num w:numId="13" w16cid:durableId="1949504451">
    <w:abstractNumId w:val="6"/>
  </w:num>
  <w:num w:numId="14" w16cid:durableId="2120877478">
    <w:abstractNumId w:val="18"/>
  </w:num>
  <w:num w:numId="15" w16cid:durableId="1227186152">
    <w:abstractNumId w:val="20"/>
  </w:num>
  <w:num w:numId="16" w16cid:durableId="2006781525">
    <w:abstractNumId w:val="16"/>
  </w:num>
  <w:num w:numId="17" w16cid:durableId="1311013464">
    <w:abstractNumId w:val="1"/>
  </w:num>
  <w:num w:numId="18" w16cid:durableId="1331249837">
    <w:abstractNumId w:val="4"/>
  </w:num>
  <w:num w:numId="19" w16cid:durableId="1416394125">
    <w:abstractNumId w:val="7"/>
  </w:num>
  <w:num w:numId="20" w16cid:durableId="1281572585">
    <w:abstractNumId w:val="15"/>
  </w:num>
  <w:num w:numId="21" w16cid:durableId="24327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C6"/>
    <w:rsid w:val="000037C4"/>
    <w:rsid w:val="0000667A"/>
    <w:rsid w:val="00015992"/>
    <w:rsid w:val="00025DCB"/>
    <w:rsid w:val="0004039B"/>
    <w:rsid w:val="000527A1"/>
    <w:rsid w:val="00066FC3"/>
    <w:rsid w:val="0007047A"/>
    <w:rsid w:val="00075014"/>
    <w:rsid w:val="00076CEC"/>
    <w:rsid w:val="00086896"/>
    <w:rsid w:val="000946B7"/>
    <w:rsid w:val="000A6C34"/>
    <w:rsid w:val="000B14BD"/>
    <w:rsid w:val="000B62BC"/>
    <w:rsid w:val="000C6982"/>
    <w:rsid w:val="000E445C"/>
    <w:rsid w:val="000E649B"/>
    <w:rsid w:val="000E7370"/>
    <w:rsid w:val="000F2947"/>
    <w:rsid w:val="00102047"/>
    <w:rsid w:val="00102A5B"/>
    <w:rsid w:val="0010578E"/>
    <w:rsid w:val="001306E1"/>
    <w:rsid w:val="001439DB"/>
    <w:rsid w:val="0018099E"/>
    <w:rsid w:val="00187099"/>
    <w:rsid w:val="001A406B"/>
    <w:rsid w:val="001D1DD0"/>
    <w:rsid w:val="001D3E5F"/>
    <w:rsid w:val="00200407"/>
    <w:rsid w:val="00207C19"/>
    <w:rsid w:val="002158AB"/>
    <w:rsid w:val="002206FB"/>
    <w:rsid w:val="00247826"/>
    <w:rsid w:val="0026740D"/>
    <w:rsid w:val="0027704F"/>
    <w:rsid w:val="002E2C43"/>
    <w:rsid w:val="003104AE"/>
    <w:rsid w:val="003256FD"/>
    <w:rsid w:val="00331D95"/>
    <w:rsid w:val="00334DED"/>
    <w:rsid w:val="0038619C"/>
    <w:rsid w:val="00397C32"/>
    <w:rsid w:val="003B5B69"/>
    <w:rsid w:val="003B677C"/>
    <w:rsid w:val="003E4CA9"/>
    <w:rsid w:val="003F6AB8"/>
    <w:rsid w:val="004040FC"/>
    <w:rsid w:val="00446277"/>
    <w:rsid w:val="00455ED9"/>
    <w:rsid w:val="004A0309"/>
    <w:rsid w:val="004A4EEA"/>
    <w:rsid w:val="004D65B5"/>
    <w:rsid w:val="004E4911"/>
    <w:rsid w:val="004F226E"/>
    <w:rsid w:val="0054469B"/>
    <w:rsid w:val="00560C9E"/>
    <w:rsid w:val="005700FE"/>
    <w:rsid w:val="0058099B"/>
    <w:rsid w:val="00583683"/>
    <w:rsid w:val="00583BDD"/>
    <w:rsid w:val="005969C6"/>
    <w:rsid w:val="005B36CF"/>
    <w:rsid w:val="005D2965"/>
    <w:rsid w:val="005E3D03"/>
    <w:rsid w:val="005E584F"/>
    <w:rsid w:val="005E5B5E"/>
    <w:rsid w:val="005F6AFB"/>
    <w:rsid w:val="005F6BB7"/>
    <w:rsid w:val="00605B2D"/>
    <w:rsid w:val="00624D74"/>
    <w:rsid w:val="00645C01"/>
    <w:rsid w:val="00653AC6"/>
    <w:rsid w:val="00661E31"/>
    <w:rsid w:val="006748F2"/>
    <w:rsid w:val="00681EA3"/>
    <w:rsid w:val="00684D57"/>
    <w:rsid w:val="006875DB"/>
    <w:rsid w:val="006A0A84"/>
    <w:rsid w:val="006A338A"/>
    <w:rsid w:val="006A598F"/>
    <w:rsid w:val="006B3816"/>
    <w:rsid w:val="006C7DB6"/>
    <w:rsid w:val="006F045A"/>
    <w:rsid w:val="00703799"/>
    <w:rsid w:val="0073172D"/>
    <w:rsid w:val="00732F37"/>
    <w:rsid w:val="00735FD3"/>
    <w:rsid w:val="00740F5E"/>
    <w:rsid w:val="00742D2B"/>
    <w:rsid w:val="00751EF9"/>
    <w:rsid w:val="00773EC3"/>
    <w:rsid w:val="00791B65"/>
    <w:rsid w:val="00793903"/>
    <w:rsid w:val="007B0C82"/>
    <w:rsid w:val="007B2688"/>
    <w:rsid w:val="007D112B"/>
    <w:rsid w:val="007E5AE8"/>
    <w:rsid w:val="00804477"/>
    <w:rsid w:val="008144F3"/>
    <w:rsid w:val="00825FAD"/>
    <w:rsid w:val="00831416"/>
    <w:rsid w:val="00847F68"/>
    <w:rsid w:val="00854A76"/>
    <w:rsid w:val="00854E2E"/>
    <w:rsid w:val="008571FF"/>
    <w:rsid w:val="008760E4"/>
    <w:rsid w:val="00881E16"/>
    <w:rsid w:val="00890F08"/>
    <w:rsid w:val="008D64D5"/>
    <w:rsid w:val="008E25A1"/>
    <w:rsid w:val="008F02CE"/>
    <w:rsid w:val="00905F75"/>
    <w:rsid w:val="00917F98"/>
    <w:rsid w:val="009349B9"/>
    <w:rsid w:val="00944CDD"/>
    <w:rsid w:val="0097030B"/>
    <w:rsid w:val="00991A5E"/>
    <w:rsid w:val="009963A5"/>
    <w:rsid w:val="00997108"/>
    <w:rsid w:val="009A4D84"/>
    <w:rsid w:val="009B5588"/>
    <w:rsid w:val="009E2B48"/>
    <w:rsid w:val="009F5AC2"/>
    <w:rsid w:val="009F64E0"/>
    <w:rsid w:val="00A1548D"/>
    <w:rsid w:val="00A2061D"/>
    <w:rsid w:val="00A21BAA"/>
    <w:rsid w:val="00A44E27"/>
    <w:rsid w:val="00A56151"/>
    <w:rsid w:val="00A609F7"/>
    <w:rsid w:val="00A6110E"/>
    <w:rsid w:val="00A61B4D"/>
    <w:rsid w:val="00A659B7"/>
    <w:rsid w:val="00A66B46"/>
    <w:rsid w:val="00B17946"/>
    <w:rsid w:val="00B919A0"/>
    <w:rsid w:val="00BA16F7"/>
    <w:rsid w:val="00BB389A"/>
    <w:rsid w:val="00BC55B2"/>
    <w:rsid w:val="00BD5CF1"/>
    <w:rsid w:val="00BD6AF1"/>
    <w:rsid w:val="00BE364A"/>
    <w:rsid w:val="00C14EFC"/>
    <w:rsid w:val="00C202F5"/>
    <w:rsid w:val="00C24422"/>
    <w:rsid w:val="00C258E2"/>
    <w:rsid w:val="00C5164C"/>
    <w:rsid w:val="00C662BD"/>
    <w:rsid w:val="00C963AB"/>
    <w:rsid w:val="00CA003B"/>
    <w:rsid w:val="00CB22C4"/>
    <w:rsid w:val="00CB26CF"/>
    <w:rsid w:val="00CC27C2"/>
    <w:rsid w:val="00CC655C"/>
    <w:rsid w:val="00D16765"/>
    <w:rsid w:val="00D4646E"/>
    <w:rsid w:val="00D606B7"/>
    <w:rsid w:val="00D61C7A"/>
    <w:rsid w:val="00D733DF"/>
    <w:rsid w:val="00D8261D"/>
    <w:rsid w:val="00D837C8"/>
    <w:rsid w:val="00D959E2"/>
    <w:rsid w:val="00DC1803"/>
    <w:rsid w:val="00DC38C5"/>
    <w:rsid w:val="00DC61AA"/>
    <w:rsid w:val="00DD6502"/>
    <w:rsid w:val="00DE0269"/>
    <w:rsid w:val="00DF205D"/>
    <w:rsid w:val="00E15EB9"/>
    <w:rsid w:val="00E56E25"/>
    <w:rsid w:val="00E7097D"/>
    <w:rsid w:val="00E92690"/>
    <w:rsid w:val="00EC4BDD"/>
    <w:rsid w:val="00ED12D0"/>
    <w:rsid w:val="00EE131D"/>
    <w:rsid w:val="00EE2542"/>
    <w:rsid w:val="00EF460C"/>
    <w:rsid w:val="00F25D04"/>
    <w:rsid w:val="00F70914"/>
    <w:rsid w:val="00F73D6D"/>
    <w:rsid w:val="00F7508B"/>
    <w:rsid w:val="00F95AA8"/>
    <w:rsid w:val="00F95FEF"/>
    <w:rsid w:val="00FA4FF2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CFA"/>
  <w15:docId w15:val="{0B42EF94-4201-4F8B-950B-AA6D476C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A61B4D"/>
    <w:rPr>
      <w:color w:val="0000FF"/>
      <w:u w:val="single"/>
    </w:rPr>
  </w:style>
  <w:style w:type="character" w:customStyle="1" w:styleId="ListParagraphChar">
    <w:name w:val="List Paragraph Char"/>
    <w:link w:val="Akapitzlist1"/>
    <w:uiPriority w:val="99"/>
    <w:locked/>
    <w:rsid w:val="00A61B4D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61B4D"/>
    <w:pPr>
      <w:spacing w:before="200" w:after="200" w:line="276" w:lineRule="auto"/>
      <w:ind w:left="720"/>
    </w:pPr>
    <w:rPr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61B4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703799"/>
  </w:style>
  <w:style w:type="character" w:customStyle="1" w:styleId="hgkelc">
    <w:name w:val="hgkelc"/>
    <w:basedOn w:val="Domylnaczcionkaakapitu"/>
    <w:rsid w:val="00703799"/>
  </w:style>
  <w:style w:type="character" w:styleId="Odwoaniedokomentarza">
    <w:name w:val="annotation reference"/>
    <w:basedOn w:val="Domylnaczcionkaakapitu"/>
    <w:uiPriority w:val="99"/>
    <w:semiHidden/>
    <w:unhideWhenUsed/>
    <w:rsid w:val="009E2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B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B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B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C53E-C13A-4ACF-9749-560BC6A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1867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Iwona Milewska</cp:lastModifiedBy>
  <cp:revision>11</cp:revision>
  <cp:lastPrinted>2024-08-12T09:11:00Z</cp:lastPrinted>
  <dcterms:created xsi:type="dcterms:W3CDTF">2024-08-13T16:41:00Z</dcterms:created>
  <dcterms:modified xsi:type="dcterms:W3CDTF">2024-08-14T08:05:00Z</dcterms:modified>
</cp:coreProperties>
</file>